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E7" w:rsidRDefault="000769FA">
      <w:pPr>
        <w:pStyle w:val="a5"/>
        <w:widowControl/>
        <w:spacing w:beforeAutospacing="0" w:afterAutospacing="0" w:line="450" w:lineRule="atLeast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附件</w:t>
      </w:r>
      <w:r>
        <w:rPr>
          <w:rFonts w:asciiTheme="minorEastAsia" w:hAnsiTheme="minorEastAsia" w:hint="eastAsia"/>
        </w:rPr>
        <w:t>：</w:t>
      </w:r>
    </w:p>
    <w:p w:rsidR="00A107E7" w:rsidRDefault="000769FA">
      <w:pPr>
        <w:spacing w:line="380" w:lineRule="exact"/>
        <w:ind w:firstLineChars="150" w:firstLine="482"/>
        <w:jc w:val="center"/>
        <w:outlineLvl w:val="0"/>
        <w:rPr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医院配电设备情况</w:t>
      </w:r>
    </w:p>
    <w:p w:rsidR="00A107E7" w:rsidRDefault="00A107E7">
      <w:pPr>
        <w:adjustRightInd w:val="0"/>
        <w:snapToGrid w:val="0"/>
        <w:spacing w:line="380" w:lineRule="exact"/>
        <w:rPr>
          <w:rFonts w:ascii="宋体"/>
          <w:b/>
          <w:bCs/>
          <w:sz w:val="32"/>
          <w:szCs w:val="32"/>
        </w:rPr>
      </w:pPr>
    </w:p>
    <w:p w:rsidR="00A107E7" w:rsidRDefault="000769FA">
      <w:pPr>
        <w:pStyle w:val="a3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80" w:lineRule="exact"/>
        <w:rPr>
          <w:b/>
          <w:bCs/>
          <w:sz w:val="24"/>
          <w:szCs w:val="24"/>
        </w:rPr>
      </w:pPr>
      <w:r>
        <w:rPr>
          <w:rFonts w:hAnsi="宋体" w:hint="eastAsia"/>
          <w:b/>
          <w:sz w:val="24"/>
        </w:rPr>
        <w:t>配电设备</w:t>
      </w:r>
      <w:r>
        <w:rPr>
          <w:rFonts w:hint="eastAsia"/>
          <w:b/>
          <w:bCs/>
          <w:sz w:val="24"/>
          <w:szCs w:val="24"/>
        </w:rPr>
        <w:t>设备情况</w:t>
      </w:r>
    </w:p>
    <w:p w:rsidR="00A107E7" w:rsidRDefault="000769FA">
      <w:pPr>
        <w:widowControl/>
        <w:adjustRightInd w:val="0"/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医院配电设备配置情况</w:t>
      </w:r>
    </w:p>
    <w:p w:rsidR="00A107E7" w:rsidRDefault="000769FA">
      <w:pPr>
        <w:spacing w:line="380" w:lineRule="exact"/>
        <w:ind w:firstLineChars="200" w:firstLine="480"/>
        <w:jc w:val="left"/>
        <w:rPr>
          <w:rFonts w:ascii="Arial" w:hAnsi="Arial" w:cs="Arial"/>
          <w:sz w:val="24"/>
        </w:rPr>
      </w:pPr>
      <w:r>
        <w:rPr>
          <w:rFonts w:ascii="宋体" w:hint="eastAsia"/>
          <w:sz w:val="24"/>
        </w:rPr>
        <w:t>医院配电系统</w:t>
      </w:r>
      <w:r>
        <w:rPr>
          <w:rFonts w:ascii="宋体" w:hint="eastAsia"/>
          <w:bCs/>
          <w:sz w:val="24"/>
        </w:rPr>
        <w:t>含高、低压配电柜</w:t>
      </w:r>
      <w:r>
        <w:rPr>
          <w:rFonts w:ascii="宋体" w:hint="eastAsia"/>
          <w:bCs/>
          <w:sz w:val="24"/>
        </w:rPr>
        <w:t>52</w:t>
      </w:r>
      <w:r>
        <w:rPr>
          <w:rFonts w:ascii="宋体" w:hint="eastAsia"/>
          <w:bCs/>
          <w:sz w:val="24"/>
        </w:rPr>
        <w:t>台、</w:t>
      </w:r>
      <w:r>
        <w:rPr>
          <w:rFonts w:ascii="宋体" w:hint="eastAsia"/>
          <w:bCs/>
          <w:sz w:val="24"/>
        </w:rPr>
        <w:t>直流屏一台、</w:t>
      </w:r>
      <w:bookmarkStart w:id="0" w:name="_GoBack"/>
      <w:bookmarkEnd w:id="0"/>
      <w:r>
        <w:rPr>
          <w:rFonts w:ascii="宋体" w:hint="eastAsia"/>
          <w:bCs/>
          <w:sz w:val="24"/>
        </w:rPr>
        <w:t>干式变压器</w:t>
      </w:r>
      <w:r>
        <w:rPr>
          <w:rFonts w:ascii="宋体" w:hint="eastAsia"/>
          <w:bCs/>
          <w:sz w:val="24"/>
        </w:rPr>
        <w:t>5</w:t>
      </w:r>
      <w:r>
        <w:rPr>
          <w:rFonts w:ascii="宋体" w:hint="eastAsia"/>
          <w:bCs/>
          <w:sz w:val="24"/>
        </w:rPr>
        <w:t>台、柴油发电机</w:t>
      </w:r>
      <w:r>
        <w:rPr>
          <w:rFonts w:ascii="宋体" w:hint="eastAsia"/>
          <w:bCs/>
          <w:sz w:val="24"/>
        </w:rPr>
        <w:t>1</w:t>
      </w:r>
      <w:r>
        <w:rPr>
          <w:rFonts w:ascii="宋体" w:hint="eastAsia"/>
          <w:bCs/>
          <w:sz w:val="24"/>
        </w:rPr>
        <w:t>组</w:t>
      </w:r>
      <w:r>
        <w:rPr>
          <w:rFonts w:ascii="宋体" w:hint="eastAsia"/>
          <w:bCs/>
          <w:sz w:val="24"/>
        </w:rPr>
        <w:t>、及等位电箱</w:t>
      </w:r>
      <w:r>
        <w:rPr>
          <w:rFonts w:ascii="宋体" w:hint="eastAsia"/>
          <w:bCs/>
          <w:sz w:val="24"/>
        </w:rPr>
        <w:t>1</w:t>
      </w:r>
      <w:r>
        <w:rPr>
          <w:rFonts w:ascii="宋体" w:hint="eastAsia"/>
          <w:bCs/>
          <w:sz w:val="24"/>
        </w:rPr>
        <w:t>台</w:t>
      </w:r>
      <w:r>
        <w:rPr>
          <w:rFonts w:ascii="宋体" w:hAnsi="宋体" w:hint="eastAsia"/>
          <w:sz w:val="24"/>
        </w:rPr>
        <w:t>。</w:t>
      </w:r>
    </w:p>
    <w:p w:rsidR="00A107E7" w:rsidRDefault="000769FA">
      <w:pPr>
        <w:spacing w:line="440" w:lineRule="exact"/>
        <w:jc w:val="left"/>
        <w:rPr>
          <w:rFonts w:ascii="宋体" w:hAnsi="宋体"/>
          <w:bCs/>
          <w:sz w:val="24"/>
        </w:rPr>
      </w:pPr>
      <w:r>
        <w:rPr>
          <w:rFonts w:ascii="宋体" w:hint="eastAsia"/>
          <w:bCs/>
          <w:sz w:val="24"/>
        </w:rPr>
        <w:t>1.</w:t>
      </w:r>
      <w:r>
        <w:rPr>
          <w:rFonts w:asci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配电设备配置清单</w:t>
      </w:r>
    </w:p>
    <w:tbl>
      <w:tblPr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1"/>
        <w:gridCol w:w="2194"/>
        <w:gridCol w:w="2477"/>
        <w:gridCol w:w="1646"/>
        <w:gridCol w:w="1559"/>
      </w:tblGrid>
      <w:tr w:rsidR="00A107E7">
        <w:trPr>
          <w:trHeight w:val="495"/>
        </w:trPr>
        <w:tc>
          <w:tcPr>
            <w:tcW w:w="9087" w:type="dxa"/>
            <w:gridSpan w:val="5"/>
            <w:shd w:val="clear" w:color="auto" w:fill="auto"/>
            <w:vAlign w:val="center"/>
          </w:tcPr>
          <w:p w:rsidR="00A107E7" w:rsidRDefault="000769FA">
            <w:pPr>
              <w:widowControl/>
              <w:ind w:firstLineChars="200" w:firstLine="480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大埔县人民医院高低压配电房、备用电源（柴油发电机组）及设备日常运行维保服务产品参数及规格：</w:t>
            </w: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107E7">
        <w:trPr>
          <w:trHeight w:val="397"/>
        </w:trPr>
        <w:tc>
          <w:tcPr>
            <w:tcW w:w="90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直流屏</w:t>
            </w: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直流屏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80AH/DC110V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90"/>
        </w:trPr>
        <w:tc>
          <w:tcPr>
            <w:tcW w:w="90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发电机柜</w:t>
            </w: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发电机进线柜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FD1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发电机进线柜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FD2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90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高压柜</w:t>
            </w: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高压进线柜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G01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高压进线柜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G09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高压进计量柜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G02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高压进计量柜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G08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G03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G04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G05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G06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G07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90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低压进线柜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1P01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无功补偿柜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1P02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1P03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1P04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低压进线柜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无功补偿柜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2P04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2P05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2P06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2P07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2P08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低压进线柜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3P01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无功补偿柜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3P02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3P03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3P04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3P05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低压进线柜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4P01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无功补偿柜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4P02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4P03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4P04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4P05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4P06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4P07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4P08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低压进线柜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5P01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无功补偿柜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5P02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低压出线柜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5P03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90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干式变压器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总容量：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5350KVA</w:t>
            </w: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干式变压器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SGB11-R800KVA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干式变压器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SGB11-R1250KVA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90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等电位箱</w:t>
            </w: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等电位箱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90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发电机组</w:t>
            </w: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发电机组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1650KW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908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低压改造</w:t>
            </w: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IP00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2P09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4P00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50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5P04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BB1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BB2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AA1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AA2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XAA1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TAA1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12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TAA2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  <w:tr w:rsidR="00A107E7">
        <w:trPr>
          <w:trHeight w:val="397"/>
        </w:trPr>
        <w:tc>
          <w:tcPr>
            <w:tcW w:w="5882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E7" w:rsidRDefault="000769FA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107E7" w:rsidRDefault="00A107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</w:p>
        </w:tc>
      </w:tr>
    </w:tbl>
    <w:p w:rsidR="00A107E7" w:rsidRDefault="00A107E7">
      <w:pPr>
        <w:spacing w:line="440" w:lineRule="exact"/>
        <w:jc w:val="left"/>
        <w:rPr>
          <w:rFonts w:ascii="宋体" w:hAnsi="宋体"/>
          <w:b/>
          <w:sz w:val="24"/>
        </w:rPr>
      </w:pPr>
    </w:p>
    <w:p w:rsidR="00A107E7" w:rsidRDefault="000769FA">
      <w:pPr>
        <w:pStyle w:val="a3"/>
        <w:numPr>
          <w:ilvl w:val="0"/>
          <w:numId w:val="1"/>
        </w:numPr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Cs/>
          <w:sz w:val="24"/>
          <w:szCs w:val="24"/>
        </w:rPr>
      </w:pPr>
      <w:r>
        <w:rPr>
          <w:rFonts w:hAnsi="宋体" w:hint="eastAsia"/>
          <w:b/>
          <w:bCs/>
          <w:sz w:val="24"/>
          <w:szCs w:val="24"/>
        </w:rPr>
        <w:t>服务内容</w:t>
      </w:r>
    </w:p>
    <w:p w:rsidR="00A107E7" w:rsidRDefault="000769FA">
      <w:pPr>
        <w:pStyle w:val="a6"/>
        <w:tabs>
          <w:tab w:val="left" w:pos="1379"/>
        </w:tabs>
        <w:autoSpaceDE w:val="0"/>
        <w:autoSpaceDN w:val="0"/>
        <w:spacing w:line="380" w:lineRule="exact"/>
        <w:ind w:firstLine="360"/>
        <w:jc w:val="lef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中标人负责采购人配电系统的运维服务，</w:t>
      </w:r>
      <w:r>
        <w:rPr>
          <w:rFonts w:ascii="宋体" w:eastAsia="宋体" w:hAnsi="宋体" w:cs="宋体" w:hint="eastAsia"/>
          <w:sz w:val="18"/>
          <w:szCs w:val="18"/>
        </w:rPr>
        <w:t>主要服务范围包括但不限于如下内容：</w:t>
      </w:r>
    </w:p>
    <w:tbl>
      <w:tblPr>
        <w:tblStyle w:val="TableNormal"/>
        <w:tblW w:w="94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"/>
        <w:gridCol w:w="919"/>
        <w:gridCol w:w="1631"/>
        <w:gridCol w:w="4719"/>
        <w:gridCol w:w="1506"/>
      </w:tblGrid>
      <w:tr w:rsidR="00A107E7">
        <w:trPr>
          <w:trHeight w:val="513"/>
          <w:jc w:val="center"/>
        </w:trPr>
        <w:tc>
          <w:tcPr>
            <w:tcW w:w="634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919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en-US"/>
              </w:rPr>
              <w:t>类型</w:t>
            </w:r>
          </w:p>
        </w:tc>
        <w:tc>
          <w:tcPr>
            <w:tcW w:w="1631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en-US"/>
              </w:rPr>
              <w:t>项目名称</w:t>
            </w:r>
          </w:p>
        </w:tc>
        <w:tc>
          <w:tcPr>
            <w:tcW w:w="4719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主要内容</w:t>
            </w:r>
          </w:p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（包括但不限于）</w:t>
            </w:r>
          </w:p>
        </w:tc>
        <w:tc>
          <w:tcPr>
            <w:tcW w:w="1506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en-US"/>
              </w:rPr>
              <w:t>服务范围</w:t>
            </w:r>
          </w:p>
        </w:tc>
      </w:tr>
      <w:tr w:rsidR="00A107E7">
        <w:trPr>
          <w:trHeight w:val="814"/>
          <w:jc w:val="center"/>
        </w:trPr>
        <w:tc>
          <w:tcPr>
            <w:tcW w:w="634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19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en-US"/>
              </w:rPr>
              <w:t>技术服务</w:t>
            </w:r>
          </w:p>
        </w:tc>
        <w:tc>
          <w:tcPr>
            <w:tcW w:w="1631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en-US"/>
              </w:rPr>
              <w:t>运行、维保、维修等</w:t>
            </w:r>
          </w:p>
        </w:tc>
        <w:tc>
          <w:tcPr>
            <w:tcW w:w="4719" w:type="dxa"/>
            <w:vAlign w:val="center"/>
          </w:tcPr>
          <w:p w:rsidR="00A107E7" w:rsidRDefault="000769FA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高低压配电房、备用电源（柴油发电机组）及设备日常运行维保服务</w:t>
            </w:r>
          </w:p>
        </w:tc>
        <w:tc>
          <w:tcPr>
            <w:tcW w:w="1506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大埔县人民医院</w:t>
            </w:r>
          </w:p>
        </w:tc>
      </w:tr>
      <w:tr w:rsidR="00A107E7">
        <w:trPr>
          <w:trHeight w:val="699"/>
          <w:jc w:val="center"/>
        </w:trPr>
        <w:tc>
          <w:tcPr>
            <w:tcW w:w="634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19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en-US"/>
              </w:rPr>
              <w:t>值守管理</w:t>
            </w:r>
          </w:p>
        </w:tc>
        <w:tc>
          <w:tcPr>
            <w:tcW w:w="1631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en-US"/>
              </w:rPr>
              <w:t>值班管理</w:t>
            </w:r>
          </w:p>
        </w:tc>
        <w:tc>
          <w:tcPr>
            <w:tcW w:w="4719" w:type="dxa"/>
            <w:vAlign w:val="center"/>
          </w:tcPr>
          <w:p w:rsidR="00A107E7" w:rsidRDefault="000769FA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小时系统运行的监控管理</w:t>
            </w:r>
          </w:p>
        </w:tc>
        <w:tc>
          <w:tcPr>
            <w:tcW w:w="1506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en-US"/>
              </w:rPr>
              <w:t>院本部值班室</w:t>
            </w:r>
          </w:p>
        </w:tc>
      </w:tr>
    </w:tbl>
    <w:p w:rsidR="00A107E7" w:rsidRDefault="000769FA">
      <w:pPr>
        <w:pStyle w:val="a3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80" w:lineRule="exact"/>
        <w:rPr>
          <w:rFonts w:eastAsia="宋体" w:hAnsi="宋体" w:cs="宋体"/>
          <w:b/>
          <w:bCs/>
          <w:sz w:val="18"/>
          <w:szCs w:val="18"/>
        </w:rPr>
      </w:pPr>
      <w:r>
        <w:rPr>
          <w:rFonts w:eastAsia="宋体" w:hAnsi="宋体" w:cs="宋体" w:hint="eastAsia"/>
          <w:b/>
          <w:bCs/>
          <w:sz w:val="18"/>
          <w:szCs w:val="18"/>
        </w:rPr>
        <w:t>设施、设备日常运营管理要求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1313"/>
        <w:gridCol w:w="7395"/>
      </w:tblGrid>
      <w:tr w:rsidR="00A107E7">
        <w:trPr>
          <w:trHeight w:val="362"/>
          <w:jc w:val="center"/>
        </w:trPr>
        <w:tc>
          <w:tcPr>
            <w:tcW w:w="587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1313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en-US"/>
              </w:rPr>
              <w:t>项目</w:t>
            </w:r>
          </w:p>
        </w:tc>
        <w:tc>
          <w:tcPr>
            <w:tcW w:w="7395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en-US"/>
              </w:rPr>
              <w:t>说明与要求</w:t>
            </w:r>
          </w:p>
        </w:tc>
      </w:tr>
      <w:tr w:rsidR="00A107E7">
        <w:trPr>
          <w:trHeight w:val="997"/>
          <w:jc w:val="center"/>
        </w:trPr>
        <w:tc>
          <w:tcPr>
            <w:tcW w:w="587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13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en-US"/>
              </w:rPr>
              <w:t>运行管理</w:t>
            </w:r>
          </w:p>
        </w:tc>
        <w:tc>
          <w:tcPr>
            <w:tcW w:w="7395" w:type="dxa"/>
          </w:tcPr>
          <w:p w:rsidR="00A107E7" w:rsidRDefault="000769FA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、使用设备人员必须熟练操作规程，懂得设备的结构和性能，熟悉安全操作规程。要爱护设备、精心保养，合理使用，正常操作，并认真填写设备运转、维修、保养和各种事故等原始记录。</w:t>
            </w:r>
          </w:p>
        </w:tc>
      </w:tr>
      <w:tr w:rsidR="00A107E7">
        <w:trPr>
          <w:trHeight w:val="979"/>
          <w:jc w:val="center"/>
        </w:trPr>
        <w:tc>
          <w:tcPr>
            <w:tcW w:w="587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en-US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13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机房系统设备维护保养</w:t>
            </w:r>
          </w:p>
        </w:tc>
        <w:tc>
          <w:tcPr>
            <w:tcW w:w="7395" w:type="dxa"/>
          </w:tcPr>
          <w:p w:rsidR="00A107E7" w:rsidRDefault="000769FA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、按设备保养标准进行每日、每周、每月、每季度、每年度设备的维护保养项目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并每月出具月报表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A107E7" w:rsidRDefault="000769FA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、主要设备的使用要实行“三好”，即用好、管好、维修好，做到“四会”即会使用、会保养、会检查、会排除故障。</w:t>
            </w:r>
          </w:p>
        </w:tc>
      </w:tr>
      <w:tr w:rsidR="00A107E7">
        <w:trPr>
          <w:trHeight w:val="705"/>
          <w:jc w:val="center"/>
        </w:trPr>
        <w:tc>
          <w:tcPr>
            <w:tcW w:w="587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313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巡查管理</w:t>
            </w:r>
          </w:p>
        </w:tc>
        <w:tc>
          <w:tcPr>
            <w:tcW w:w="7395" w:type="dxa"/>
          </w:tcPr>
          <w:p w:rsidR="00A107E7" w:rsidRDefault="000769FA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负责配电房内所有配电设备的运行维护，执行倒闸操作和管理工作；严格遵守变配电运行安全操作规程，确保医院住院大楼供电系统的安全运行。</w:t>
            </w:r>
          </w:p>
          <w:p w:rsidR="00A107E7" w:rsidRDefault="000769FA">
            <w:pPr>
              <w:jc w:val="lef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按照配电设备维修保养有关规定，进行日常维护和例行保养。</w:t>
            </w:r>
          </w:p>
        </w:tc>
      </w:tr>
      <w:tr w:rsidR="00A107E7">
        <w:trPr>
          <w:trHeight w:val="707"/>
          <w:jc w:val="center"/>
        </w:trPr>
        <w:tc>
          <w:tcPr>
            <w:tcW w:w="587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313" w:type="dxa"/>
            <w:vAlign w:val="center"/>
          </w:tcPr>
          <w:p w:rsidR="00A107E7" w:rsidRDefault="000769FA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巡查与维护</w:t>
            </w:r>
          </w:p>
        </w:tc>
        <w:tc>
          <w:tcPr>
            <w:tcW w:w="7395" w:type="dxa"/>
          </w:tcPr>
          <w:p w:rsidR="00A107E7" w:rsidRDefault="000769FA">
            <w:pPr>
              <w:jc w:val="lef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为保障配电房的安全运行及对设备运行情况及时了解，消除故障隐患，维保人员须对高、低压柜、直流屏、变压器、发电机组、接地系统等设备和装置进行每个月检查一次、每半年进行清理及检查一次、每年进行年检一次；保证供电系统有良好的性能。</w:t>
            </w:r>
          </w:p>
        </w:tc>
      </w:tr>
    </w:tbl>
    <w:p w:rsidR="00A107E7" w:rsidRDefault="000769FA">
      <w:pPr>
        <w:pStyle w:val="a3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80" w:lineRule="exact"/>
        <w:rPr>
          <w:rFonts w:eastAsia="宋体" w:hAnsi="宋体" w:cs="宋体"/>
          <w:b/>
          <w:bCs/>
          <w:sz w:val="18"/>
          <w:szCs w:val="18"/>
        </w:rPr>
      </w:pPr>
      <w:r>
        <w:rPr>
          <w:rFonts w:eastAsia="宋体" w:hAnsi="宋体" w:cs="宋体" w:hint="eastAsia"/>
          <w:b/>
          <w:bCs/>
          <w:sz w:val="18"/>
          <w:szCs w:val="18"/>
        </w:rPr>
        <w:t>运营管理服务具体要求</w:t>
      </w:r>
    </w:p>
    <w:p w:rsidR="00A107E7" w:rsidRDefault="000769FA">
      <w:pPr>
        <w:spacing w:line="38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4.1</w:t>
      </w:r>
      <w:r>
        <w:rPr>
          <w:rFonts w:ascii="宋体" w:eastAsia="宋体" w:hAnsi="宋体" w:cs="宋体" w:hint="eastAsia"/>
          <w:sz w:val="18"/>
          <w:szCs w:val="18"/>
        </w:rPr>
        <w:t>技术与服务支持</w:t>
      </w:r>
    </w:p>
    <w:p w:rsidR="00A107E7" w:rsidRDefault="000769FA">
      <w:pPr>
        <w:spacing w:line="38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4.1.1</w:t>
      </w:r>
      <w:r>
        <w:rPr>
          <w:rFonts w:ascii="宋体" w:eastAsia="宋体" w:hAnsi="宋体" w:cs="宋体" w:hint="eastAsia"/>
          <w:sz w:val="18"/>
          <w:szCs w:val="18"/>
        </w:rPr>
        <w:t>提供</w:t>
      </w:r>
      <w:r>
        <w:rPr>
          <w:rFonts w:ascii="宋体" w:eastAsia="宋体" w:hAnsi="宋体" w:cs="宋体" w:hint="eastAsia"/>
          <w:sz w:val="18"/>
          <w:szCs w:val="18"/>
        </w:rPr>
        <w:t>365</w:t>
      </w:r>
      <w:r>
        <w:rPr>
          <w:rFonts w:ascii="宋体" w:eastAsia="宋体" w:hAnsi="宋体" w:cs="宋体" w:hint="eastAsia"/>
          <w:sz w:val="18"/>
          <w:szCs w:val="18"/>
        </w:rPr>
        <w:t>×</w:t>
      </w:r>
      <w:r>
        <w:rPr>
          <w:rFonts w:ascii="宋体" w:eastAsia="宋体" w:hAnsi="宋体" w:cs="宋体" w:hint="eastAsia"/>
          <w:sz w:val="18"/>
          <w:szCs w:val="18"/>
        </w:rPr>
        <w:t>24</w:t>
      </w:r>
      <w:r>
        <w:rPr>
          <w:rFonts w:ascii="宋体" w:eastAsia="宋体" w:hAnsi="宋体" w:cs="宋体" w:hint="eastAsia"/>
          <w:sz w:val="18"/>
          <w:szCs w:val="18"/>
        </w:rPr>
        <w:t>小时技术人员值守服务，</w:t>
      </w:r>
      <w:r>
        <w:rPr>
          <w:rFonts w:ascii="宋体" w:eastAsia="宋体" w:hAnsi="宋体" w:cs="宋体" w:hint="eastAsia"/>
          <w:sz w:val="18"/>
          <w:szCs w:val="18"/>
        </w:rPr>
        <w:t>手机实时监控，</w:t>
      </w:r>
      <w:r>
        <w:rPr>
          <w:rFonts w:ascii="宋体" w:eastAsia="宋体" w:hAnsi="宋体" w:cs="宋体" w:hint="eastAsia"/>
          <w:sz w:val="18"/>
          <w:szCs w:val="18"/>
        </w:rPr>
        <w:t>提供全天</w:t>
      </w:r>
      <w:r>
        <w:rPr>
          <w:rFonts w:ascii="宋体" w:eastAsia="宋体" w:hAnsi="宋体" w:cs="宋体" w:hint="eastAsia"/>
          <w:sz w:val="18"/>
          <w:szCs w:val="18"/>
        </w:rPr>
        <w:t>24</w:t>
      </w:r>
      <w:r>
        <w:rPr>
          <w:rFonts w:ascii="宋体" w:eastAsia="宋体" w:hAnsi="宋体" w:cs="宋体" w:hint="eastAsia"/>
          <w:sz w:val="18"/>
          <w:szCs w:val="18"/>
        </w:rPr>
        <w:t>小时的技术维修、咨询服务、故障服务受理，</w:t>
      </w:r>
      <w:r>
        <w:rPr>
          <w:rFonts w:ascii="宋体" w:eastAsia="宋体" w:hAnsi="宋体" w:cs="宋体" w:hint="eastAsia"/>
          <w:sz w:val="18"/>
          <w:szCs w:val="18"/>
        </w:rPr>
        <w:t>20</w:t>
      </w:r>
      <w:r>
        <w:rPr>
          <w:rFonts w:ascii="宋体" w:eastAsia="宋体" w:hAnsi="宋体" w:cs="宋体" w:hint="eastAsia"/>
          <w:sz w:val="18"/>
          <w:szCs w:val="18"/>
        </w:rPr>
        <w:t>分钟内技术人员必须到现场。维修、保养人员需具有电工特种作业操作证。</w:t>
      </w:r>
    </w:p>
    <w:p w:rsidR="00A107E7" w:rsidRDefault="000769FA">
      <w:pPr>
        <w:spacing w:line="38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4.1.2</w:t>
      </w:r>
      <w:r>
        <w:rPr>
          <w:rFonts w:ascii="宋体" w:eastAsia="宋体" w:hAnsi="宋体" w:cs="宋体" w:hint="eastAsia"/>
          <w:sz w:val="18"/>
          <w:szCs w:val="18"/>
        </w:rPr>
        <w:t>设专门的售后服务管理部门</w:t>
      </w:r>
      <w:r>
        <w:rPr>
          <w:rFonts w:ascii="宋体" w:eastAsia="宋体" w:hAnsi="宋体" w:cs="宋体" w:hint="eastAsia"/>
          <w:sz w:val="18"/>
          <w:szCs w:val="18"/>
        </w:rPr>
        <w:t>，</w:t>
      </w:r>
      <w:r>
        <w:rPr>
          <w:rFonts w:ascii="宋体" w:eastAsia="宋体" w:hAnsi="宋体" w:cs="宋体" w:hint="eastAsia"/>
          <w:sz w:val="18"/>
          <w:szCs w:val="18"/>
        </w:rPr>
        <w:t>20</w:t>
      </w:r>
      <w:r>
        <w:rPr>
          <w:rFonts w:ascii="宋体" w:eastAsia="宋体" w:hAnsi="宋体" w:cs="宋体" w:hint="eastAsia"/>
          <w:sz w:val="18"/>
          <w:szCs w:val="18"/>
        </w:rPr>
        <w:t>分钟内到达现场，快速响应要求，投标文件中应列出具体响应方式及保障措施。</w:t>
      </w:r>
    </w:p>
    <w:p w:rsidR="00A107E7" w:rsidRDefault="000769FA">
      <w:pPr>
        <w:spacing w:line="38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lastRenderedPageBreak/>
        <w:t>4.1.3</w:t>
      </w:r>
      <w:r>
        <w:rPr>
          <w:rFonts w:ascii="宋体" w:eastAsia="宋体" w:hAnsi="宋体" w:cs="宋体" w:hint="eastAsia"/>
          <w:sz w:val="18"/>
          <w:szCs w:val="18"/>
        </w:rPr>
        <w:t>在做检修维护保养时提供工程技术人员、仪器仪表、机具设备。</w:t>
      </w:r>
    </w:p>
    <w:p w:rsidR="00A107E7" w:rsidRDefault="000769FA">
      <w:pPr>
        <w:spacing w:line="38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4.2</w:t>
      </w:r>
      <w:r>
        <w:rPr>
          <w:rFonts w:ascii="宋体" w:eastAsia="宋体" w:hAnsi="宋体" w:cs="宋体" w:hint="eastAsia"/>
          <w:sz w:val="18"/>
          <w:szCs w:val="18"/>
        </w:rPr>
        <w:t>其他服务要求</w:t>
      </w:r>
    </w:p>
    <w:p w:rsidR="00A107E7" w:rsidRDefault="000769FA">
      <w:pPr>
        <w:spacing w:line="38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4.2.1</w:t>
      </w:r>
      <w:r>
        <w:rPr>
          <w:rFonts w:ascii="宋体" w:eastAsia="宋体" w:hAnsi="宋体" w:cs="宋体" w:hint="eastAsia"/>
          <w:sz w:val="18"/>
          <w:szCs w:val="18"/>
        </w:rPr>
        <w:t>合同执行期间所需的相关管理与技术人力，全部由中标人承担。</w:t>
      </w:r>
    </w:p>
    <w:p w:rsidR="00A107E7" w:rsidRDefault="000769FA">
      <w:pPr>
        <w:spacing w:line="38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4.2.2</w:t>
      </w:r>
      <w:r>
        <w:rPr>
          <w:rFonts w:ascii="宋体" w:eastAsia="宋体" w:hAnsi="宋体" w:cs="宋体" w:hint="eastAsia"/>
          <w:sz w:val="18"/>
          <w:szCs w:val="18"/>
        </w:rPr>
        <w:t>投标人须负责日常维护所需的备品备件提供。</w:t>
      </w:r>
    </w:p>
    <w:p w:rsidR="00A107E7" w:rsidRDefault="000769FA">
      <w:pPr>
        <w:spacing w:line="380" w:lineRule="exact"/>
        <w:ind w:firstLineChars="200"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4.2.3 </w:t>
      </w:r>
      <w:r>
        <w:rPr>
          <w:rFonts w:ascii="宋体" w:eastAsia="宋体" w:hAnsi="宋体" w:cs="宋体" w:hint="eastAsia"/>
          <w:sz w:val="18"/>
          <w:szCs w:val="18"/>
        </w:rPr>
        <w:t>投标人须承担所有派驻岗位人员的安全及设备设施的安全责任。</w:t>
      </w:r>
    </w:p>
    <w:p w:rsidR="00A107E7" w:rsidRDefault="00A107E7">
      <w:pPr>
        <w:pStyle w:val="a5"/>
        <w:widowControl/>
        <w:spacing w:beforeAutospacing="0" w:afterAutospacing="0" w:line="450" w:lineRule="atLeast"/>
        <w:jc w:val="both"/>
        <w:rPr>
          <w:rFonts w:asciiTheme="minorEastAsia" w:hAnsiTheme="minorEastAsia"/>
        </w:rPr>
      </w:pPr>
    </w:p>
    <w:p w:rsidR="00A107E7" w:rsidRDefault="00A107E7"/>
    <w:sectPr w:rsidR="00A107E7" w:rsidSect="00A107E7">
      <w:footerReference w:type="default" r:id="rId7"/>
      <w:pgSz w:w="11906" w:h="16838"/>
      <w:pgMar w:top="1020" w:right="1701" w:bottom="1020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FA" w:rsidRDefault="000769FA" w:rsidP="00A107E7">
      <w:r>
        <w:separator/>
      </w:r>
    </w:p>
  </w:endnote>
  <w:endnote w:type="continuationSeparator" w:id="1">
    <w:p w:rsidR="000769FA" w:rsidRDefault="000769FA" w:rsidP="00A1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E7" w:rsidRDefault="00A107E7">
    <w:pPr>
      <w:pStyle w:val="a4"/>
      <w:jc w:val="center"/>
    </w:pPr>
    <w:r w:rsidRPr="00A107E7">
      <w:fldChar w:fldCharType="begin"/>
    </w:r>
    <w:r w:rsidR="000769FA">
      <w:instrText xml:space="preserve"> PAGE   \* ME</w:instrText>
    </w:r>
    <w:r w:rsidR="000769FA">
      <w:instrText xml:space="preserve">RGEFORMAT </w:instrText>
    </w:r>
    <w:r w:rsidRPr="00A107E7">
      <w:fldChar w:fldCharType="separate"/>
    </w:r>
    <w:r w:rsidR="004C66FF" w:rsidRPr="004C66FF">
      <w:rPr>
        <w:noProof/>
        <w:lang w:val="zh-CN"/>
      </w:rPr>
      <w:t>1</w:t>
    </w:r>
    <w:r>
      <w:rPr>
        <w:lang w:val="zh-CN"/>
      </w:rPr>
      <w:fldChar w:fldCharType="end"/>
    </w:r>
  </w:p>
  <w:p w:rsidR="00A107E7" w:rsidRDefault="00A107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FA" w:rsidRDefault="000769FA" w:rsidP="00A107E7">
      <w:r>
        <w:separator/>
      </w:r>
    </w:p>
  </w:footnote>
  <w:footnote w:type="continuationSeparator" w:id="1">
    <w:p w:rsidR="000769FA" w:rsidRDefault="000769FA" w:rsidP="00A10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778E"/>
    <w:multiLevelType w:val="multilevel"/>
    <w:tmpl w:val="25AC778E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6CA"/>
    <w:rsid w:val="000769FA"/>
    <w:rsid w:val="003136CA"/>
    <w:rsid w:val="004C66FF"/>
    <w:rsid w:val="0092065A"/>
    <w:rsid w:val="00A107E7"/>
    <w:rsid w:val="00B84CB5"/>
    <w:rsid w:val="00BF3289"/>
    <w:rsid w:val="00D439B6"/>
    <w:rsid w:val="1587449F"/>
    <w:rsid w:val="1C1B5646"/>
    <w:rsid w:val="222A0EC5"/>
    <w:rsid w:val="2FC8208C"/>
    <w:rsid w:val="58C65046"/>
    <w:rsid w:val="650224CC"/>
    <w:rsid w:val="74842EFD"/>
    <w:rsid w:val="7B410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107E7"/>
    <w:rPr>
      <w:rFonts w:ascii="宋体" w:hAnsi="Courier New"/>
      <w:kern w:val="0"/>
      <w:sz w:val="20"/>
      <w:szCs w:val="21"/>
    </w:rPr>
  </w:style>
  <w:style w:type="paragraph" w:styleId="a4">
    <w:name w:val="footer"/>
    <w:basedOn w:val="a"/>
    <w:link w:val="Char0"/>
    <w:uiPriority w:val="99"/>
    <w:qFormat/>
    <w:rsid w:val="00A107E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Normal (Web)"/>
    <w:basedOn w:val="a"/>
    <w:qFormat/>
    <w:rsid w:val="00A107E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纯文本 Char"/>
    <w:basedOn w:val="a0"/>
    <w:link w:val="a3"/>
    <w:qFormat/>
    <w:rsid w:val="00A107E7"/>
    <w:rPr>
      <w:rFonts w:ascii="宋体" w:hAnsi="Courier New"/>
      <w:kern w:val="0"/>
      <w:sz w:val="20"/>
      <w:szCs w:val="21"/>
    </w:rPr>
  </w:style>
  <w:style w:type="character" w:customStyle="1" w:styleId="Char0">
    <w:name w:val="页脚 Char"/>
    <w:basedOn w:val="a0"/>
    <w:link w:val="a4"/>
    <w:uiPriority w:val="99"/>
    <w:qFormat/>
    <w:rsid w:val="00A107E7"/>
    <w:rPr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A107E7"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sid w:val="00A107E7"/>
    <w:pPr>
      <w:widowControl w:val="0"/>
      <w:autoSpaceDE w:val="0"/>
      <w:autoSpaceDN w:val="0"/>
    </w:pPr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1"/>
    <w:uiPriority w:val="99"/>
    <w:semiHidden/>
    <w:unhideWhenUsed/>
    <w:rsid w:val="004C6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4C66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Windows 用户</cp:lastModifiedBy>
  <cp:revision>2</cp:revision>
  <dcterms:created xsi:type="dcterms:W3CDTF">2025-12-01T02:03:00Z</dcterms:created>
  <dcterms:modified xsi:type="dcterms:W3CDTF">2025-12-01T02:03:00Z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108524A8AB0D491097CA3448C1B6D233_12</vt:lpwstr>
  </property>
</Properties>
</file>